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8" w:type="dxa"/>
        <w:tblInd w:w="-12" w:type="dxa"/>
        <w:tblLayout w:type="fixed"/>
        <w:tblLook w:val="04A0" w:firstRow="1" w:lastRow="0" w:firstColumn="1" w:lastColumn="0" w:noHBand="0" w:noVBand="1"/>
      </w:tblPr>
      <w:tblGrid>
        <w:gridCol w:w="3073"/>
        <w:gridCol w:w="6545"/>
      </w:tblGrid>
      <w:tr w:rsidR="003037EA" w:rsidRPr="003037EA" w:rsidTr="00404981">
        <w:trPr>
          <w:trHeight w:val="828"/>
        </w:trPr>
        <w:tc>
          <w:tcPr>
            <w:tcW w:w="3035" w:type="dxa"/>
            <w:shd w:val="clear" w:color="auto" w:fill="auto"/>
          </w:tcPr>
          <w:p w:rsidR="003037EA" w:rsidRPr="003037EA" w:rsidRDefault="003037EA" w:rsidP="003037EA">
            <w:pPr>
              <w:jc w:val="center"/>
              <w:rPr>
                <w:rFonts w:eastAsia="Calibri"/>
                <w:b/>
                <w:noProof/>
                <w:color w:val="000000"/>
                <w:sz w:val="26"/>
                <w:szCs w:val="26"/>
              </w:rPr>
            </w:pPr>
            <w:r w:rsidRPr="003037EA">
              <w:rPr>
                <w:rFonts w:eastAsia="Calibri"/>
                <w:b/>
                <w:noProof/>
                <w:color w:val="000000"/>
                <w:sz w:val="26"/>
                <w:szCs w:val="26"/>
              </w:rPr>
              <w:t>HỘI ĐỒNG NHÂN DÂN</w:t>
            </w:r>
          </w:p>
          <w:p w:rsidR="003037EA" w:rsidRPr="003037EA" w:rsidRDefault="003037EA" w:rsidP="003037EA">
            <w:pPr>
              <w:jc w:val="center"/>
              <w:rPr>
                <w:rFonts w:eastAsia="Calibri"/>
                <w:b/>
                <w:noProof/>
                <w:color w:val="000000"/>
                <w:sz w:val="26"/>
                <w:szCs w:val="26"/>
              </w:rPr>
            </w:pPr>
            <w:r w:rsidRPr="003037EA">
              <w:rPr>
                <w:rFonts w:eastAsia="Calibri"/>
                <w:noProof/>
                <w:color w:val="000000"/>
                <w:sz w:val="28"/>
                <w:szCs w:val="22"/>
              </w:rPr>
              <mc:AlternateContent>
                <mc:Choice Requires="wps">
                  <w:drawing>
                    <wp:anchor distT="4294967292" distB="4294967292" distL="114300" distR="114300" simplePos="0" relativeHeight="251661312" behindDoc="0" locked="0" layoutInCell="1" allowOverlap="1" wp14:anchorId="174FB681" wp14:editId="68192CC8">
                      <wp:simplePos x="0" y="0"/>
                      <wp:positionH relativeFrom="column">
                        <wp:posOffset>362585</wp:posOffset>
                      </wp:positionH>
                      <wp:positionV relativeFrom="paragraph">
                        <wp:posOffset>191770</wp:posOffset>
                      </wp:positionV>
                      <wp:extent cx="936000" cy="0"/>
                      <wp:effectExtent l="0" t="0" r="355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1FF0" id="Straight Connector 1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5pt,15.1pt" to="102.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DlGw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"/>
                  </w:pict>
                </mc:Fallback>
              </mc:AlternateContent>
            </w:r>
            <w:r w:rsidRPr="003037EA">
              <w:rPr>
                <w:rFonts w:eastAsia="Calibri"/>
                <w:b/>
                <w:noProof/>
                <w:color w:val="000000"/>
                <w:sz w:val="26"/>
                <w:szCs w:val="26"/>
              </w:rPr>
              <w:t>HUYỆN KON PLÔNG</w:t>
            </w:r>
          </w:p>
        </w:tc>
        <w:tc>
          <w:tcPr>
            <w:tcW w:w="6463" w:type="dxa"/>
            <w:shd w:val="clear" w:color="auto" w:fill="auto"/>
          </w:tcPr>
          <w:p w:rsidR="003037EA" w:rsidRPr="003037EA" w:rsidRDefault="003037EA" w:rsidP="003037EA">
            <w:pPr>
              <w:ind w:firstLine="567"/>
              <w:jc w:val="center"/>
              <w:rPr>
                <w:rFonts w:eastAsia="Calibri"/>
                <w:b/>
                <w:noProof/>
                <w:color w:val="000000"/>
                <w:sz w:val="26"/>
                <w:szCs w:val="26"/>
              </w:rPr>
            </w:pPr>
            <w:r w:rsidRPr="003037EA">
              <w:rPr>
                <w:rFonts w:eastAsia="Calibri"/>
                <w:b/>
                <w:noProof/>
                <w:color w:val="000000"/>
                <w:sz w:val="26"/>
                <w:szCs w:val="26"/>
              </w:rPr>
              <w:t>CỘNG HÒA XÃ HỘI CHỦ NGHĨA VIỆT NAM</w:t>
            </w:r>
          </w:p>
          <w:p w:rsidR="003037EA" w:rsidRPr="003037EA" w:rsidRDefault="003037EA" w:rsidP="003037EA">
            <w:pPr>
              <w:ind w:firstLine="567"/>
              <w:jc w:val="center"/>
              <w:rPr>
                <w:rFonts w:eastAsia="Calibri"/>
                <w:b/>
                <w:noProof/>
                <w:color w:val="000000"/>
                <w:sz w:val="26"/>
                <w:szCs w:val="26"/>
              </w:rPr>
            </w:pPr>
            <w:r w:rsidRPr="003037EA">
              <w:rPr>
                <w:rFonts w:eastAsia="Calibri"/>
                <w:noProof/>
                <w:color w:val="000000"/>
                <w:sz w:val="28"/>
                <w:szCs w:val="22"/>
              </w:rPr>
              <mc:AlternateContent>
                <mc:Choice Requires="wps">
                  <w:drawing>
                    <wp:anchor distT="4294967292" distB="4294967292" distL="114300" distR="114300" simplePos="0" relativeHeight="251660288" behindDoc="0" locked="0" layoutInCell="1" allowOverlap="1" wp14:anchorId="28D7DE28" wp14:editId="7C7274C7">
                      <wp:simplePos x="0" y="0"/>
                      <wp:positionH relativeFrom="column">
                        <wp:posOffset>1140460</wp:posOffset>
                      </wp:positionH>
                      <wp:positionV relativeFrom="paragraph">
                        <wp:posOffset>194945</wp:posOffset>
                      </wp:positionV>
                      <wp:extent cx="208800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E1A3"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8pt,15.35pt" to="254.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5N0sUhTaC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"/>
                  </w:pict>
                </mc:Fallback>
              </mc:AlternateContent>
            </w:r>
            <w:r w:rsidRPr="003037EA">
              <w:rPr>
                <w:rFonts w:eastAsia="Calibri"/>
                <w:b/>
                <w:noProof/>
                <w:color w:val="000000"/>
                <w:sz w:val="28"/>
                <w:szCs w:val="22"/>
              </w:rPr>
              <w:t>Độc lập - Tự do - Hạnh phúc</w:t>
            </w:r>
          </w:p>
        </w:tc>
      </w:tr>
      <w:tr w:rsidR="003037EA" w:rsidRPr="003037EA" w:rsidTr="00404981">
        <w:tc>
          <w:tcPr>
            <w:tcW w:w="3035" w:type="dxa"/>
            <w:shd w:val="clear" w:color="auto" w:fill="auto"/>
          </w:tcPr>
          <w:p w:rsidR="003037EA" w:rsidRPr="00402F75" w:rsidRDefault="003037EA" w:rsidP="00402F75">
            <w:pPr>
              <w:jc w:val="center"/>
              <w:rPr>
                <w:rFonts w:eastAsia="Calibri"/>
                <w:noProof/>
                <w:color w:val="000000"/>
                <w:sz w:val="28"/>
                <w:szCs w:val="22"/>
                <w:lang w:val="nl-NL"/>
              </w:rPr>
            </w:pPr>
            <w:r w:rsidRPr="003037EA">
              <w:rPr>
                <w:rFonts w:eastAsia="Calibri"/>
                <w:noProof/>
                <w:color w:val="000000"/>
                <w:sz w:val="28"/>
                <w:szCs w:val="22"/>
                <w:lang w:val="nl-NL"/>
              </w:rPr>
              <w:t>Số:         /NQ-HĐND</w:t>
            </w:r>
          </w:p>
        </w:tc>
        <w:tc>
          <w:tcPr>
            <w:tcW w:w="6463" w:type="dxa"/>
            <w:shd w:val="clear" w:color="auto" w:fill="auto"/>
          </w:tcPr>
          <w:p w:rsidR="003037EA" w:rsidRPr="003037EA" w:rsidRDefault="003037EA" w:rsidP="000A600B">
            <w:pPr>
              <w:ind w:firstLine="567"/>
              <w:jc w:val="center"/>
              <w:rPr>
                <w:rFonts w:eastAsia="Calibri"/>
                <w:b/>
                <w:noProof/>
                <w:color w:val="000000"/>
                <w:sz w:val="26"/>
                <w:szCs w:val="26"/>
              </w:rPr>
            </w:pPr>
            <w:r w:rsidRPr="003037EA">
              <w:rPr>
                <w:rFonts w:eastAsia="Calibri"/>
                <w:i/>
                <w:noProof/>
                <w:color w:val="000000"/>
                <w:sz w:val="28"/>
                <w:szCs w:val="22"/>
                <w:lang w:val="nl-NL"/>
              </w:rPr>
              <w:t xml:space="preserve">         Kon Plông, ngày     tháng </w:t>
            </w:r>
            <w:r w:rsidR="000A600B">
              <w:rPr>
                <w:rFonts w:eastAsia="Calibri"/>
                <w:i/>
                <w:noProof/>
                <w:color w:val="000000"/>
                <w:sz w:val="28"/>
                <w:szCs w:val="22"/>
                <w:lang w:val="nl-NL"/>
              </w:rPr>
              <w:t xml:space="preserve"> </w:t>
            </w:r>
            <w:r w:rsidRPr="003037EA">
              <w:rPr>
                <w:rFonts w:eastAsia="Calibri"/>
                <w:i/>
                <w:noProof/>
                <w:color w:val="000000"/>
                <w:sz w:val="28"/>
                <w:szCs w:val="22"/>
                <w:lang w:val="nl-NL"/>
              </w:rPr>
              <w:t xml:space="preserve"> năm 202</w:t>
            </w:r>
            <w:r w:rsidR="000A600B">
              <w:rPr>
                <w:rFonts w:eastAsia="Calibri"/>
                <w:i/>
                <w:noProof/>
                <w:color w:val="000000"/>
                <w:sz w:val="28"/>
                <w:szCs w:val="22"/>
                <w:lang w:val="nl-NL"/>
              </w:rPr>
              <w:t>4</w:t>
            </w:r>
          </w:p>
        </w:tc>
      </w:tr>
    </w:tbl>
    <w:p w:rsidR="003037EA" w:rsidRPr="003037EA" w:rsidRDefault="003037EA" w:rsidP="003037EA">
      <w:pPr>
        <w:rPr>
          <w:rFonts w:eastAsia="Calibri"/>
          <w:noProof/>
          <w:color w:val="000000"/>
          <w:sz w:val="6"/>
          <w:szCs w:val="22"/>
          <w:lang w:val="nl-NL"/>
        </w:rPr>
      </w:pPr>
    </w:p>
    <w:p w:rsidR="003037EA" w:rsidRPr="003037EA" w:rsidRDefault="003037EA" w:rsidP="003037EA">
      <w:pPr>
        <w:keepNext/>
        <w:spacing w:before="60"/>
        <w:jc w:val="center"/>
        <w:outlineLvl w:val="0"/>
        <w:rPr>
          <w:b/>
          <w:bCs/>
          <w:iCs/>
          <w:noProof/>
          <w:color w:val="000000"/>
          <w:sz w:val="28"/>
          <w:szCs w:val="28"/>
          <w:lang w:val="nl-NL"/>
        </w:rPr>
      </w:pPr>
      <w:r w:rsidRPr="003037EA">
        <w:rPr>
          <w:b/>
          <w:bCs/>
          <w:iCs/>
          <w:noProof/>
          <w:color w:val="000000"/>
          <w:sz w:val="28"/>
          <w:szCs w:val="28"/>
          <w:lang w:val="nl-NL"/>
        </w:rPr>
        <w:t>NGHỊ QUYẾT</w:t>
      </w:r>
    </w:p>
    <w:p w:rsidR="003037EA" w:rsidRPr="003037EA" w:rsidRDefault="0086683B" w:rsidP="003037EA">
      <w:pPr>
        <w:spacing w:line="264" w:lineRule="auto"/>
        <w:ind w:firstLine="709"/>
        <w:jc w:val="center"/>
        <w:rPr>
          <w:b/>
          <w:sz w:val="28"/>
          <w:szCs w:val="28"/>
          <w:lang w:eastAsia="en-GB"/>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2486024</wp:posOffset>
                </wp:positionH>
                <wp:positionV relativeFrom="paragraph">
                  <wp:posOffset>217170</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B0F5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75pt,17.1pt" to="27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" strokecolor="black [3200]" strokeweight=".5pt">
                <v:stroke joinstyle="miter"/>
              </v:line>
            </w:pict>
          </mc:Fallback>
        </mc:AlternateContent>
      </w:r>
      <w:r w:rsidR="000A600B">
        <w:rPr>
          <w:b/>
          <w:noProof/>
          <w:color w:val="000000"/>
          <w:sz w:val="28"/>
          <w:szCs w:val="28"/>
          <w:lang w:val="nl-NL" w:eastAsia="en-GB"/>
        </w:rPr>
        <w:t>Về chương trình giám sát năm 2025 của Hội đồng nhân dân huyện</w:t>
      </w:r>
    </w:p>
    <w:p w:rsidR="003037EA" w:rsidRPr="003037EA" w:rsidRDefault="003037EA" w:rsidP="003037EA">
      <w:pPr>
        <w:rPr>
          <w:b/>
          <w:color w:val="000000"/>
          <w:sz w:val="22"/>
          <w:szCs w:val="28"/>
          <w:lang w:val="nl-NL"/>
        </w:rPr>
      </w:pPr>
    </w:p>
    <w:p w:rsidR="003037EA" w:rsidRPr="003037EA" w:rsidRDefault="003037EA" w:rsidP="003037EA">
      <w:pPr>
        <w:spacing w:line="276" w:lineRule="auto"/>
        <w:ind w:firstLine="567"/>
        <w:jc w:val="center"/>
        <w:rPr>
          <w:rFonts w:eastAsia="Calibri"/>
          <w:b/>
          <w:noProof/>
          <w:color w:val="000000"/>
          <w:sz w:val="2"/>
          <w:szCs w:val="28"/>
          <w:lang w:val="nl-NL"/>
        </w:rPr>
      </w:pPr>
    </w:p>
    <w:p w:rsidR="003037EA" w:rsidRPr="003037EA" w:rsidRDefault="003037EA" w:rsidP="003037EA">
      <w:pPr>
        <w:spacing w:line="276" w:lineRule="auto"/>
        <w:jc w:val="center"/>
        <w:rPr>
          <w:rFonts w:eastAsia="Calibri"/>
          <w:b/>
          <w:noProof/>
          <w:color w:val="000000"/>
          <w:sz w:val="28"/>
          <w:szCs w:val="28"/>
          <w:lang w:val="nl-NL"/>
        </w:rPr>
      </w:pPr>
      <w:r w:rsidRPr="003037EA">
        <w:rPr>
          <w:rFonts w:eastAsia="Calibri"/>
          <w:b/>
          <w:noProof/>
          <w:color w:val="000000"/>
          <w:sz w:val="28"/>
          <w:szCs w:val="28"/>
          <w:lang w:val="nl-NL"/>
        </w:rPr>
        <w:t>HỘI ĐỒNG NHÂN DÂN HUYỆN KON PLÔNG</w:t>
      </w:r>
    </w:p>
    <w:p w:rsidR="003037EA" w:rsidRPr="003037EA" w:rsidRDefault="003037EA" w:rsidP="003037EA">
      <w:pPr>
        <w:spacing w:line="276" w:lineRule="auto"/>
        <w:jc w:val="center"/>
        <w:rPr>
          <w:rFonts w:eastAsia="Calibri"/>
          <w:b/>
          <w:noProof/>
          <w:color w:val="000000"/>
          <w:sz w:val="28"/>
          <w:szCs w:val="28"/>
          <w:lang w:val="nl-NL"/>
        </w:rPr>
      </w:pPr>
      <w:r w:rsidRPr="003037EA">
        <w:rPr>
          <w:rFonts w:eastAsia="Calibri"/>
          <w:b/>
          <w:noProof/>
          <w:color w:val="000000"/>
          <w:sz w:val="28"/>
          <w:szCs w:val="28"/>
          <w:lang w:val="nl-NL"/>
        </w:rPr>
        <w:t xml:space="preserve">KHÓA XV KỲ HỌP THỨ </w:t>
      </w:r>
      <w:r w:rsidR="009006CF">
        <w:rPr>
          <w:rFonts w:eastAsia="Calibri"/>
          <w:b/>
          <w:noProof/>
          <w:color w:val="000000"/>
          <w:sz w:val="28"/>
          <w:szCs w:val="28"/>
          <w:lang w:val="nl-NL"/>
        </w:rPr>
        <w:t>7</w:t>
      </w:r>
    </w:p>
    <w:p w:rsidR="003037EA" w:rsidRPr="003037EA" w:rsidRDefault="003037EA" w:rsidP="009006CF">
      <w:pPr>
        <w:spacing w:before="120"/>
        <w:ind w:firstLine="709"/>
        <w:jc w:val="both"/>
        <w:rPr>
          <w:i/>
          <w:color w:val="000000"/>
          <w:sz w:val="28"/>
          <w:szCs w:val="20"/>
          <w:lang w:val="nl-NL"/>
        </w:rPr>
      </w:pPr>
      <w:r w:rsidRPr="003037EA">
        <w:rPr>
          <w:i/>
          <w:color w:val="000000"/>
          <w:sz w:val="28"/>
          <w:szCs w:val="28"/>
          <w:lang w:val="nl-NL"/>
        </w:rPr>
        <w:t xml:space="preserve">Căn cứ Luật Tổ chức chính quyền địa phương ngày 19 tháng 6 năm </w:t>
      </w:r>
      <w:r w:rsidRPr="003037EA">
        <w:rPr>
          <w:i/>
          <w:noProof/>
          <w:color w:val="000000"/>
          <w:sz w:val="28"/>
          <w:szCs w:val="28"/>
          <w:lang w:val="nl-NL"/>
        </w:rPr>
        <w:t>2015; Luật sửa đổi, bổ sung một số điều của Luật Tổ chức Chính phủ và Luật Tổ chức chính quyền địa phương ngày 22 tháng 11 năm 2019;</w:t>
      </w:r>
    </w:p>
    <w:p w:rsidR="003037EA" w:rsidRPr="003037EA" w:rsidRDefault="003037EA" w:rsidP="009006CF">
      <w:pPr>
        <w:spacing w:after="120"/>
        <w:ind w:firstLine="709"/>
        <w:jc w:val="both"/>
        <w:rPr>
          <w:i/>
          <w:noProof/>
          <w:color w:val="000000"/>
          <w:sz w:val="28"/>
          <w:szCs w:val="28"/>
          <w:lang w:val="nl-NL"/>
        </w:rPr>
      </w:pPr>
      <w:r w:rsidRPr="003037EA">
        <w:rPr>
          <w:i/>
          <w:noProof/>
          <w:color w:val="000000"/>
          <w:sz w:val="28"/>
          <w:szCs w:val="28"/>
          <w:lang w:val="nl-NL"/>
        </w:rPr>
        <w:t>Căn cứ Luật Hoạt động giám sát của Quốc hội và Hội đồng nhân dân ngày 20 tháng 11 năm 2015;</w:t>
      </w:r>
    </w:p>
    <w:p w:rsidR="003037EA" w:rsidRPr="003037EA" w:rsidRDefault="003037EA" w:rsidP="009006CF">
      <w:pPr>
        <w:spacing w:after="120"/>
        <w:ind w:firstLine="709"/>
        <w:jc w:val="both"/>
        <w:rPr>
          <w:i/>
          <w:noProof/>
          <w:color w:val="000000"/>
          <w:sz w:val="28"/>
          <w:szCs w:val="28"/>
          <w:lang w:val="nl-NL"/>
        </w:rPr>
      </w:pPr>
      <w:r w:rsidRPr="003037EA">
        <w:rPr>
          <w:i/>
          <w:noProof/>
          <w:color w:val="000000"/>
          <w:sz w:val="28"/>
          <w:szCs w:val="28"/>
          <w:lang w:val="nl-NL"/>
        </w:rPr>
        <w:t xml:space="preserve">Căn cứ </w:t>
      </w:r>
      <w:r w:rsidRPr="003037EA">
        <w:rPr>
          <w:i/>
          <w:sz w:val="28"/>
          <w:szCs w:val="28"/>
        </w:rPr>
        <w:t xml:space="preserve">Nghị quyết số </w:t>
      </w:r>
      <w:r w:rsidR="00D7238D">
        <w:rPr>
          <w:i/>
          <w:sz w:val="28"/>
          <w:szCs w:val="28"/>
        </w:rPr>
        <w:t>594/NQ-UBTVQH, ngày 12 tháng 9 năm 2022 của Uỷ ban Thường vụ Quốc hội về hướng dẫn hoạt động giám sát của Hội đồng nhân dân, Thường trực Hội đồng nhân dân, Ban của Hội đồng nhân dân, Tổ đại biểu Hội đồng nhân dân và đại biểu Hội đồng nhân dân.</w:t>
      </w:r>
    </w:p>
    <w:p w:rsidR="003037EA" w:rsidRPr="003037EA" w:rsidRDefault="003037EA" w:rsidP="00402F75">
      <w:pPr>
        <w:spacing w:after="100" w:afterAutospacing="1"/>
        <w:ind w:firstLine="709"/>
        <w:jc w:val="both"/>
        <w:rPr>
          <w:i/>
          <w:sz w:val="28"/>
          <w:szCs w:val="28"/>
          <w:lang w:eastAsia="en-GB"/>
        </w:rPr>
      </w:pPr>
      <w:r w:rsidRPr="003037EA">
        <w:rPr>
          <w:i/>
          <w:noProof/>
          <w:color w:val="000000"/>
          <w:sz w:val="28"/>
          <w:szCs w:val="28"/>
          <w:lang w:val="nl-NL" w:eastAsia="en-GB"/>
        </w:rPr>
        <w:tab/>
        <w:t xml:space="preserve">Xét Tờ trình số </w:t>
      </w:r>
      <w:r w:rsidR="00B959A9">
        <w:rPr>
          <w:i/>
          <w:noProof/>
          <w:color w:val="000000"/>
          <w:sz w:val="28"/>
          <w:szCs w:val="28"/>
          <w:lang w:val="nl-NL" w:eastAsia="en-GB"/>
        </w:rPr>
        <w:t>123/TTr-TTHĐND ngày</w:t>
      </w:r>
      <w:r w:rsidRPr="003037EA">
        <w:rPr>
          <w:i/>
          <w:noProof/>
          <w:color w:val="000000"/>
          <w:sz w:val="28"/>
          <w:szCs w:val="28"/>
          <w:lang w:val="nl-NL" w:eastAsia="en-GB"/>
        </w:rPr>
        <w:t xml:space="preserve"> </w:t>
      </w:r>
      <w:r w:rsidR="00B959A9">
        <w:rPr>
          <w:i/>
          <w:noProof/>
          <w:color w:val="000000"/>
          <w:sz w:val="28"/>
          <w:szCs w:val="28"/>
          <w:lang w:val="nl-NL" w:eastAsia="en-GB"/>
        </w:rPr>
        <w:t>03 tháng 7</w:t>
      </w:r>
      <w:r w:rsidRPr="003037EA">
        <w:rPr>
          <w:i/>
          <w:noProof/>
          <w:color w:val="000000"/>
          <w:sz w:val="28"/>
          <w:szCs w:val="28"/>
          <w:lang w:val="nl-NL" w:eastAsia="en-GB"/>
        </w:rPr>
        <w:t xml:space="preserve"> năm 202</w:t>
      </w:r>
      <w:r w:rsidR="00CE5CFA">
        <w:rPr>
          <w:i/>
          <w:noProof/>
          <w:color w:val="000000"/>
          <w:sz w:val="28"/>
          <w:szCs w:val="28"/>
          <w:lang w:val="nl-NL" w:eastAsia="en-GB"/>
        </w:rPr>
        <w:t>4</w:t>
      </w:r>
      <w:r w:rsidR="00402F75">
        <w:rPr>
          <w:i/>
          <w:noProof/>
          <w:color w:val="000000"/>
          <w:sz w:val="28"/>
          <w:szCs w:val="28"/>
          <w:lang w:val="nl-NL" w:eastAsia="en-GB"/>
        </w:rPr>
        <w:t xml:space="preserve"> của </w:t>
      </w:r>
      <w:r w:rsidRPr="003037EA">
        <w:rPr>
          <w:i/>
          <w:noProof/>
          <w:color w:val="000000"/>
          <w:sz w:val="28"/>
          <w:szCs w:val="28"/>
          <w:lang w:val="nl-NL" w:eastAsia="en-GB"/>
        </w:rPr>
        <w:t xml:space="preserve">Thường trực Hội đồng nhân dân huyện về </w:t>
      </w:r>
      <w:r w:rsidR="00CE5CFA">
        <w:rPr>
          <w:i/>
          <w:sz w:val="28"/>
          <w:szCs w:val="28"/>
          <w:lang w:val="en-GB" w:eastAsia="en-GB"/>
        </w:rPr>
        <w:t xml:space="preserve">chương trình giám sát năm 2024 và ý kiến thảo luận của đại </w:t>
      </w:r>
      <w:r w:rsidR="00402F75">
        <w:rPr>
          <w:i/>
          <w:sz w:val="28"/>
          <w:szCs w:val="28"/>
          <w:lang w:val="en-GB" w:eastAsia="en-GB"/>
        </w:rPr>
        <w:t>biểu HĐND huyện tại kỳ họp.</w:t>
      </w:r>
    </w:p>
    <w:p w:rsidR="003037EA" w:rsidRPr="003037EA" w:rsidRDefault="003037EA" w:rsidP="003037EA">
      <w:pPr>
        <w:spacing w:before="120"/>
        <w:ind w:firstLine="709"/>
        <w:jc w:val="both"/>
        <w:rPr>
          <w:rFonts w:eastAsia="Calibri"/>
          <w:noProof/>
          <w:color w:val="000000"/>
          <w:sz w:val="2"/>
          <w:szCs w:val="2"/>
          <w:lang w:val="nl-NL"/>
        </w:rPr>
      </w:pPr>
    </w:p>
    <w:p w:rsidR="003037EA" w:rsidRPr="003037EA" w:rsidRDefault="003037EA" w:rsidP="003037EA">
      <w:pPr>
        <w:tabs>
          <w:tab w:val="left" w:leader="dot" w:pos="6210"/>
        </w:tabs>
        <w:spacing w:before="120"/>
        <w:jc w:val="center"/>
        <w:rPr>
          <w:rFonts w:eastAsia="Calibri"/>
          <w:b/>
          <w:bCs/>
          <w:color w:val="000000"/>
          <w:sz w:val="28"/>
          <w:szCs w:val="28"/>
          <w:lang w:val="nl-NL"/>
        </w:rPr>
      </w:pPr>
      <w:r w:rsidRPr="003037EA">
        <w:rPr>
          <w:rFonts w:eastAsia="Calibri"/>
          <w:b/>
          <w:bCs/>
          <w:color w:val="000000"/>
          <w:sz w:val="28"/>
          <w:szCs w:val="28"/>
          <w:lang w:val="nl-NL"/>
        </w:rPr>
        <w:t>QUYẾT NGHỊ:</w:t>
      </w:r>
    </w:p>
    <w:p w:rsidR="003037EA" w:rsidRPr="003037EA" w:rsidRDefault="003037EA" w:rsidP="003037EA">
      <w:pPr>
        <w:tabs>
          <w:tab w:val="left" w:leader="dot" w:pos="6210"/>
        </w:tabs>
        <w:spacing w:before="120"/>
        <w:ind w:firstLine="709"/>
        <w:jc w:val="both"/>
        <w:rPr>
          <w:rFonts w:eastAsia="Calibri"/>
          <w:b/>
          <w:bCs/>
          <w:color w:val="000000"/>
          <w:sz w:val="2"/>
          <w:szCs w:val="28"/>
          <w:lang w:val="nl-NL"/>
        </w:rPr>
      </w:pPr>
    </w:p>
    <w:p w:rsidR="003037EA" w:rsidRDefault="003037EA" w:rsidP="00F5761B">
      <w:pPr>
        <w:spacing w:after="120" w:line="276" w:lineRule="auto"/>
        <w:ind w:firstLine="709"/>
        <w:jc w:val="both"/>
        <w:rPr>
          <w:color w:val="000000"/>
          <w:sz w:val="28"/>
          <w:szCs w:val="28"/>
          <w:lang w:val="nl-NL" w:eastAsia="en-GB"/>
        </w:rPr>
      </w:pPr>
      <w:r w:rsidRPr="003037EA">
        <w:rPr>
          <w:b/>
          <w:color w:val="000000"/>
          <w:sz w:val="28"/>
          <w:szCs w:val="28"/>
          <w:lang w:val="nl-NL" w:eastAsia="en-GB"/>
        </w:rPr>
        <w:tab/>
        <w:t>Điều 1.</w:t>
      </w:r>
      <w:r w:rsidRPr="003037EA">
        <w:rPr>
          <w:color w:val="000000"/>
          <w:sz w:val="28"/>
          <w:szCs w:val="28"/>
          <w:lang w:val="nl-NL" w:eastAsia="en-GB"/>
        </w:rPr>
        <w:t xml:space="preserve"> </w:t>
      </w:r>
      <w:r w:rsidR="00CE5CFA">
        <w:rPr>
          <w:color w:val="000000"/>
          <w:sz w:val="28"/>
          <w:szCs w:val="28"/>
          <w:lang w:val="nl-NL" w:eastAsia="en-GB"/>
        </w:rPr>
        <w:t>Chương trình giám sát năm 2025 của Hội đồng nhân dân huyện</w:t>
      </w:r>
    </w:p>
    <w:p w:rsidR="00CE5CFA" w:rsidRPr="00CE5CFA" w:rsidRDefault="00CE5CFA" w:rsidP="00F5761B">
      <w:pPr>
        <w:spacing w:after="120" w:line="276" w:lineRule="auto"/>
        <w:ind w:firstLine="709"/>
        <w:jc w:val="both"/>
        <w:rPr>
          <w:color w:val="000000"/>
          <w:sz w:val="28"/>
          <w:szCs w:val="28"/>
          <w:lang w:val="nl-NL" w:eastAsia="en-GB"/>
        </w:rPr>
      </w:pPr>
      <w:r w:rsidRPr="00304CF2">
        <w:rPr>
          <w:b/>
          <w:color w:val="000000"/>
          <w:sz w:val="28"/>
          <w:szCs w:val="28"/>
          <w:lang w:val="nl-NL" w:eastAsia="en-GB"/>
        </w:rPr>
        <w:t xml:space="preserve">1. </w:t>
      </w:r>
      <w:r w:rsidRPr="00CE5CFA">
        <w:rPr>
          <w:color w:val="000000"/>
          <w:sz w:val="28"/>
          <w:szCs w:val="28"/>
          <w:lang w:val="nl-NL" w:eastAsia="en-GB"/>
        </w:rPr>
        <w:t>Giám sát tại kỳ họp Hội đồng nhân dân huyện</w:t>
      </w:r>
    </w:p>
    <w:p w:rsidR="00CE5CFA" w:rsidRPr="00CE5CFA" w:rsidRDefault="00CE5CFA" w:rsidP="00F5761B">
      <w:pPr>
        <w:spacing w:after="120" w:line="276" w:lineRule="auto"/>
        <w:ind w:firstLine="720"/>
        <w:jc w:val="both"/>
        <w:rPr>
          <w:rFonts w:eastAsia="Calibri"/>
          <w:sz w:val="28"/>
          <w:szCs w:val="22"/>
        </w:rPr>
      </w:pPr>
      <w:r w:rsidRPr="00CE5CFA">
        <w:rPr>
          <w:rFonts w:eastAsia="Calibri"/>
          <w:sz w:val="28"/>
          <w:szCs w:val="22"/>
        </w:rPr>
        <w:t>- Xem xét các báo cáo của Thường trực Hội đồng nhân dân, các Ban của Hội đồng nhân dân, Uỷ ban nhân dân huyện, Toà án nhân dân huyện, Viện Kiểm sát nhân dân huyện, Chi cục Thi hành án dân sự huyện và Đoàn Hội thẩm Toà án nhân dân huyện tại các kỳ họp.</w:t>
      </w:r>
    </w:p>
    <w:p w:rsidR="00CE5CFA" w:rsidRPr="00CE5CFA" w:rsidRDefault="00CE5CFA" w:rsidP="00F5761B">
      <w:pPr>
        <w:spacing w:after="120" w:line="276" w:lineRule="auto"/>
        <w:ind w:firstLine="720"/>
        <w:jc w:val="both"/>
        <w:rPr>
          <w:rFonts w:eastAsia="Calibri"/>
          <w:sz w:val="28"/>
          <w:szCs w:val="22"/>
        </w:rPr>
      </w:pPr>
      <w:r w:rsidRPr="00CE5CFA">
        <w:rPr>
          <w:rFonts w:eastAsia="Calibri"/>
          <w:sz w:val="28"/>
          <w:szCs w:val="22"/>
        </w:rPr>
        <w:t>- Tổ chức hoạt động chất vấn và xem xét việc trả lời chất vấn, việc thực hiện các nội dung trả lời chất vấn.</w:t>
      </w:r>
    </w:p>
    <w:p w:rsidR="00CE5CFA" w:rsidRPr="00CE5CFA" w:rsidRDefault="00CE5CFA" w:rsidP="00F5761B">
      <w:pPr>
        <w:spacing w:after="120" w:line="276" w:lineRule="auto"/>
        <w:ind w:firstLine="720"/>
        <w:jc w:val="both"/>
        <w:rPr>
          <w:rFonts w:eastAsia="Calibri"/>
          <w:sz w:val="28"/>
          <w:szCs w:val="22"/>
        </w:rPr>
      </w:pPr>
      <w:r w:rsidRPr="00304CF2">
        <w:rPr>
          <w:b/>
          <w:sz w:val="28"/>
          <w:szCs w:val="28"/>
          <w:lang w:eastAsia="en-GB"/>
        </w:rPr>
        <w:t>2.</w:t>
      </w:r>
      <w:r>
        <w:rPr>
          <w:lang w:eastAsia="en-GB"/>
        </w:rPr>
        <w:t xml:space="preserve"> </w:t>
      </w:r>
      <w:r w:rsidRPr="00CE5CFA">
        <w:rPr>
          <w:rFonts w:eastAsia="Calibri"/>
          <w:sz w:val="28"/>
          <w:szCs w:val="22"/>
        </w:rPr>
        <w:t>Xem xét các quyết định của Uỷ ban nhân dân huyện, nghị quyết của Hội đồng nhân dân cấp dưới trực tiếp có dấu hiệu trái Hiến pháp, Luật, văn bản quy phạm pháp luật của cơ quan nhà nước cấp trên, nghị quyết của Hội đồng nhân dân cùng cấp.</w:t>
      </w:r>
    </w:p>
    <w:p w:rsidR="00CE5CFA" w:rsidRPr="001157FA" w:rsidRDefault="00CE5CFA" w:rsidP="00F5761B">
      <w:pPr>
        <w:spacing w:after="120" w:line="276" w:lineRule="auto"/>
        <w:ind w:firstLine="709"/>
        <w:jc w:val="both"/>
        <w:rPr>
          <w:color w:val="000000" w:themeColor="text1"/>
          <w:sz w:val="28"/>
          <w:szCs w:val="28"/>
          <w:lang w:eastAsia="en-GB"/>
        </w:rPr>
      </w:pPr>
      <w:r w:rsidRPr="00304CF2">
        <w:rPr>
          <w:b/>
          <w:color w:val="000000" w:themeColor="text1"/>
          <w:sz w:val="28"/>
          <w:szCs w:val="28"/>
          <w:lang w:eastAsia="en-GB"/>
        </w:rPr>
        <w:t>3.</w:t>
      </w:r>
      <w:r w:rsidRPr="001157FA">
        <w:rPr>
          <w:color w:val="000000" w:themeColor="text1"/>
          <w:sz w:val="28"/>
          <w:szCs w:val="28"/>
          <w:lang w:eastAsia="en-GB"/>
        </w:rPr>
        <w:t xml:space="preserve"> Giám sát chuyên đề của Hội đồng nhân dân huyện</w:t>
      </w:r>
    </w:p>
    <w:p w:rsidR="00CE5CFA" w:rsidRDefault="00CE5CFA" w:rsidP="00F5761B">
      <w:pPr>
        <w:spacing w:after="120" w:line="276" w:lineRule="auto"/>
        <w:ind w:firstLine="709"/>
        <w:jc w:val="both"/>
        <w:rPr>
          <w:color w:val="000000" w:themeColor="text1"/>
          <w:sz w:val="28"/>
          <w:szCs w:val="28"/>
          <w:lang w:eastAsia="vi-VN"/>
        </w:rPr>
      </w:pPr>
      <w:r w:rsidRPr="001157FA">
        <w:rPr>
          <w:color w:val="000000" w:themeColor="text1"/>
          <w:sz w:val="28"/>
          <w:szCs w:val="28"/>
          <w:lang w:eastAsia="en-GB"/>
        </w:rPr>
        <w:lastRenderedPageBreak/>
        <w:t xml:space="preserve">- Giám sát </w:t>
      </w:r>
      <w:r w:rsidRPr="001157FA">
        <w:rPr>
          <w:color w:val="000000" w:themeColor="text1"/>
          <w:sz w:val="28"/>
          <w:szCs w:val="28"/>
          <w:lang w:eastAsia="vi-VN"/>
        </w:rPr>
        <w:t>tình hình thực hiện Nghị quyết số 31/2020/NQ-HĐND ngày 21/12/2020 của Hội đồng nhân dân huyện về Kế hoạch phát triển kinh tế - xã hội, quốc phòng - an ninh 05 năm, giai đoạn 2021-2025.</w:t>
      </w:r>
    </w:p>
    <w:p w:rsidR="001157FA" w:rsidRPr="00D22B91" w:rsidRDefault="001157FA" w:rsidP="00F5761B">
      <w:pPr>
        <w:spacing w:after="120" w:line="276" w:lineRule="auto"/>
        <w:ind w:firstLine="709"/>
        <w:jc w:val="both"/>
        <w:rPr>
          <w:color w:val="000000" w:themeColor="text1"/>
          <w:sz w:val="28"/>
          <w:szCs w:val="28"/>
          <w:lang w:eastAsia="en-GB"/>
        </w:rPr>
      </w:pPr>
      <w:r>
        <w:rPr>
          <w:color w:val="000000" w:themeColor="text1"/>
          <w:sz w:val="28"/>
          <w:szCs w:val="28"/>
          <w:lang w:eastAsia="vi-VN"/>
        </w:rPr>
        <w:t xml:space="preserve">- </w:t>
      </w:r>
      <w:r w:rsidR="00D22B91" w:rsidRPr="00D22B91">
        <w:rPr>
          <w:color w:val="000000" w:themeColor="text1"/>
          <w:sz w:val="28"/>
          <w:szCs w:val="28"/>
          <w:lang w:eastAsia="vi-VN"/>
        </w:rPr>
        <w:t>Giám sát</w:t>
      </w:r>
      <w:r w:rsidR="00D22B91" w:rsidRPr="00D22B91">
        <w:rPr>
          <w:sz w:val="28"/>
          <w:szCs w:val="28"/>
        </w:rPr>
        <w:t xml:space="preserve"> </w:t>
      </w:r>
      <w:r w:rsidR="00D22B91" w:rsidRPr="00D22B91">
        <w:rPr>
          <w:color w:val="000000" w:themeColor="text1"/>
          <w:sz w:val="28"/>
          <w:szCs w:val="28"/>
          <w:lang w:eastAsia="vi-VN"/>
        </w:rPr>
        <w:t>công tác đầu tư, quản lý, hiệu quả khai thác, sử dụng các c</w:t>
      </w:r>
      <w:r w:rsidR="00BF38A8">
        <w:rPr>
          <w:color w:val="000000" w:themeColor="text1"/>
          <w:sz w:val="28"/>
          <w:szCs w:val="28"/>
          <w:lang w:eastAsia="vi-VN"/>
        </w:rPr>
        <w:t>ông trình thuỷ lợi trên địa bàn huyện.</w:t>
      </w:r>
    </w:p>
    <w:p w:rsidR="003E335A" w:rsidRDefault="003037EA" w:rsidP="00F5761B">
      <w:pPr>
        <w:tabs>
          <w:tab w:val="left" w:leader="dot" w:pos="6210"/>
        </w:tabs>
        <w:spacing w:after="120" w:line="276" w:lineRule="auto"/>
        <w:ind w:firstLine="709"/>
        <w:jc w:val="both"/>
        <w:rPr>
          <w:rFonts w:eastAsia="Calibri"/>
          <w:color w:val="000000"/>
          <w:sz w:val="28"/>
          <w:szCs w:val="28"/>
          <w:lang w:val="nl-NL"/>
        </w:rPr>
      </w:pPr>
      <w:r w:rsidRPr="003037EA">
        <w:rPr>
          <w:rFonts w:eastAsia="Calibri"/>
          <w:b/>
          <w:color w:val="000000"/>
          <w:sz w:val="28"/>
          <w:szCs w:val="28"/>
          <w:lang w:val="nl-NL"/>
        </w:rPr>
        <w:t>Điều 2.</w:t>
      </w:r>
      <w:r w:rsidRPr="003037EA">
        <w:rPr>
          <w:rFonts w:eastAsia="Calibri"/>
          <w:color w:val="000000"/>
          <w:sz w:val="28"/>
          <w:szCs w:val="28"/>
          <w:lang w:val="nl-NL"/>
        </w:rPr>
        <w:t xml:space="preserve"> </w:t>
      </w:r>
    </w:p>
    <w:p w:rsidR="003E335A" w:rsidRDefault="003E335A" w:rsidP="00F5761B">
      <w:pPr>
        <w:tabs>
          <w:tab w:val="left" w:leader="dot" w:pos="6210"/>
        </w:tabs>
        <w:spacing w:after="120" w:line="276" w:lineRule="auto"/>
        <w:ind w:firstLine="709"/>
        <w:jc w:val="both"/>
        <w:rPr>
          <w:rFonts w:eastAsia="Calibri"/>
          <w:bCs/>
          <w:color w:val="000000"/>
          <w:sz w:val="28"/>
          <w:szCs w:val="28"/>
          <w:lang w:val="nl-NL"/>
        </w:rPr>
      </w:pPr>
      <w:r w:rsidRPr="00304CF2">
        <w:rPr>
          <w:rFonts w:eastAsia="Calibri"/>
          <w:b/>
          <w:bCs/>
          <w:color w:val="000000"/>
          <w:sz w:val="28"/>
          <w:szCs w:val="28"/>
          <w:lang w:val="nl-NL"/>
        </w:rPr>
        <w:t>1.</w:t>
      </w:r>
      <w:r>
        <w:rPr>
          <w:rFonts w:eastAsia="Calibri"/>
          <w:bCs/>
          <w:color w:val="000000"/>
          <w:sz w:val="28"/>
          <w:szCs w:val="28"/>
          <w:lang w:val="nl-NL"/>
        </w:rPr>
        <w:t xml:space="preserve"> Giao Thường trực Hội đồng nhân dân huyện tổ chức thực hiện.</w:t>
      </w:r>
    </w:p>
    <w:p w:rsidR="00684549" w:rsidRDefault="00684549" w:rsidP="00F5761B">
      <w:pPr>
        <w:tabs>
          <w:tab w:val="left" w:leader="dot" w:pos="6210"/>
        </w:tabs>
        <w:spacing w:after="120" w:line="276" w:lineRule="auto"/>
        <w:ind w:firstLine="709"/>
        <w:jc w:val="both"/>
        <w:rPr>
          <w:rFonts w:eastAsia="Calibri"/>
          <w:bCs/>
          <w:color w:val="000000"/>
          <w:sz w:val="28"/>
          <w:szCs w:val="28"/>
          <w:lang w:val="nl-NL"/>
        </w:rPr>
      </w:pPr>
      <w:r w:rsidRPr="00304CF2">
        <w:rPr>
          <w:rFonts w:eastAsia="Calibri"/>
          <w:b/>
          <w:bCs/>
          <w:color w:val="000000"/>
          <w:sz w:val="28"/>
          <w:szCs w:val="28"/>
          <w:lang w:val="nl-NL"/>
        </w:rPr>
        <w:t>2.</w:t>
      </w:r>
      <w:r>
        <w:rPr>
          <w:rFonts w:eastAsia="Calibri"/>
          <w:bCs/>
          <w:color w:val="000000"/>
          <w:sz w:val="28"/>
          <w:szCs w:val="28"/>
          <w:lang w:val="nl-NL"/>
        </w:rPr>
        <w:t xml:space="preserve"> Các cơ quan, tổ chức, đơn vị liên quan có trách nhiệm phối hợp chặt chẽ với Thường trực Hội đồng nhân dân, các Ban của Hội đồng nhân dân, Tổ đại biểu Hội đồng nhân dân và đại biểu Hội đồng nhân dân huyện trong quá trình giám sát.</w:t>
      </w:r>
    </w:p>
    <w:p w:rsidR="00C55ED4" w:rsidRDefault="00684549" w:rsidP="00F5761B">
      <w:pPr>
        <w:tabs>
          <w:tab w:val="left" w:leader="dot" w:pos="6210"/>
        </w:tabs>
        <w:spacing w:after="120" w:line="276" w:lineRule="auto"/>
        <w:ind w:firstLine="709"/>
        <w:jc w:val="both"/>
        <w:rPr>
          <w:rFonts w:eastAsia="Calibri"/>
          <w:bCs/>
          <w:color w:val="000000"/>
          <w:sz w:val="28"/>
          <w:szCs w:val="28"/>
          <w:lang w:val="nl-NL"/>
        </w:rPr>
      </w:pPr>
      <w:r w:rsidRPr="00304CF2">
        <w:rPr>
          <w:rFonts w:eastAsia="Calibri"/>
          <w:b/>
          <w:bCs/>
          <w:color w:val="000000"/>
          <w:sz w:val="28"/>
          <w:szCs w:val="28"/>
          <w:lang w:val="nl-NL"/>
        </w:rPr>
        <w:t>3.</w:t>
      </w:r>
      <w:r>
        <w:rPr>
          <w:rFonts w:eastAsia="Calibri"/>
          <w:bCs/>
          <w:color w:val="000000"/>
          <w:sz w:val="28"/>
          <w:szCs w:val="28"/>
          <w:lang w:val="nl-NL"/>
        </w:rPr>
        <w:t xml:space="preserve"> Các cơ quan, đơn vị là đối tượng chịu sự giám sát chủ động chuẩn bị các văn bản phục vụ giám sát theo đúng kế hoạch, đề cương của các đoàn giám sát (đối với giám sát chuyên đề), chỉ đạo của Thường trực Hội đồng nhân dân huyện (đối với giám sát việc trả lời kiến nghị của cử tri, chất vấn và trả lời chất vấn) và yêu cầu của các Ban Hội đồng nhân dân huyện (đối với báo cáo, dự thảo nghị quyết trình kỳ họp); kịp thời báo cáo và cung cấp đầy đủ, chính xác những thông tin, tài liệu cần thiết theo yêu cầu của cơ quan giám sát; thực hiện nghiêm túc khắc phục các hạn chế, yếu kém và giải quyết, xử lý các kiến nghị sau giám sát, báo cáo kế</w:t>
      </w:r>
      <w:r w:rsidR="00264A58">
        <w:rPr>
          <w:rFonts w:eastAsia="Calibri"/>
          <w:bCs/>
          <w:color w:val="000000"/>
          <w:sz w:val="28"/>
          <w:szCs w:val="28"/>
          <w:lang w:val="nl-NL"/>
        </w:rPr>
        <w:t>t quả</w:t>
      </w:r>
      <w:r>
        <w:rPr>
          <w:rFonts w:eastAsia="Calibri"/>
          <w:bCs/>
          <w:color w:val="000000"/>
          <w:sz w:val="28"/>
          <w:szCs w:val="28"/>
          <w:lang w:val="nl-NL"/>
        </w:rPr>
        <w:t xml:space="preserve"> thực hiện về các Ban của HĐND huyện (theo lĩnh vực </w:t>
      </w:r>
      <w:r w:rsidR="00C55ED4">
        <w:rPr>
          <w:rFonts w:eastAsia="Calibri"/>
          <w:bCs/>
          <w:color w:val="000000"/>
          <w:sz w:val="28"/>
          <w:szCs w:val="28"/>
          <w:lang w:val="nl-NL"/>
        </w:rPr>
        <w:t>của Ban HĐND huyện phụ trách) để tổng hợp, báo cáo Thường trực HĐND huyện, HĐND huyện xem xét theo đúng quy đị</w:t>
      </w:r>
      <w:r w:rsidR="00B11BC3">
        <w:rPr>
          <w:rFonts w:eastAsia="Calibri"/>
          <w:bCs/>
          <w:color w:val="000000"/>
          <w:sz w:val="28"/>
          <w:szCs w:val="28"/>
          <w:lang w:val="nl-NL"/>
        </w:rPr>
        <w:t>nh</w:t>
      </w:r>
      <w:r w:rsidR="00C55ED4">
        <w:rPr>
          <w:rFonts w:eastAsia="Calibri"/>
          <w:bCs/>
          <w:color w:val="000000"/>
          <w:sz w:val="28"/>
          <w:szCs w:val="28"/>
          <w:lang w:val="nl-NL"/>
        </w:rPr>
        <w:t>.</w:t>
      </w:r>
    </w:p>
    <w:p w:rsidR="003037EA" w:rsidRPr="00D66A04" w:rsidRDefault="003037EA" w:rsidP="00D66A04">
      <w:pPr>
        <w:tabs>
          <w:tab w:val="left" w:leader="dot" w:pos="6210"/>
        </w:tabs>
        <w:spacing w:after="120" w:line="276" w:lineRule="auto"/>
        <w:ind w:firstLine="709"/>
        <w:jc w:val="both"/>
        <w:rPr>
          <w:rFonts w:eastAsia="Calibri"/>
          <w:bCs/>
          <w:color w:val="000000"/>
          <w:sz w:val="28"/>
          <w:szCs w:val="22"/>
          <w:lang w:val="nl-NL"/>
        </w:rPr>
      </w:pPr>
      <w:r w:rsidRPr="003037EA">
        <w:rPr>
          <w:rFonts w:eastAsia="Calibri"/>
          <w:bCs/>
          <w:color w:val="000000"/>
          <w:sz w:val="28"/>
          <w:szCs w:val="22"/>
          <w:lang w:val="nl-NL"/>
        </w:rPr>
        <w:t xml:space="preserve">Nghị quyết này đã được Hội đồng nhân dân huyện </w:t>
      </w:r>
      <w:r w:rsidRPr="003037EA">
        <w:rPr>
          <w:rFonts w:eastAsia="Calibri"/>
          <w:bCs/>
          <w:color w:val="000000"/>
          <w:sz w:val="28"/>
          <w:szCs w:val="22"/>
          <w:lang w:val="vi-VN"/>
        </w:rPr>
        <w:t>Kon Plông</w:t>
      </w:r>
      <w:r w:rsidRPr="003037EA">
        <w:rPr>
          <w:rFonts w:eastAsia="Calibri"/>
          <w:bCs/>
          <w:color w:val="000000"/>
          <w:sz w:val="28"/>
          <w:szCs w:val="22"/>
          <w:lang w:val="nl-NL"/>
        </w:rPr>
        <w:t xml:space="preserve"> Khóa XV Kỳ họp thứ </w:t>
      </w:r>
      <w:r w:rsidR="00C55ED4">
        <w:rPr>
          <w:rFonts w:eastAsia="Calibri"/>
          <w:bCs/>
          <w:color w:val="000000"/>
          <w:sz w:val="28"/>
          <w:szCs w:val="22"/>
          <w:lang w:val="nl-NL"/>
        </w:rPr>
        <w:t>7</w:t>
      </w:r>
      <w:r w:rsidRPr="003037EA">
        <w:rPr>
          <w:rFonts w:eastAsia="Calibri"/>
          <w:bCs/>
          <w:color w:val="000000"/>
          <w:sz w:val="28"/>
          <w:szCs w:val="22"/>
          <w:lang w:val="nl-NL"/>
        </w:rPr>
        <w:t xml:space="preserve"> thông qua ngày </w:t>
      </w:r>
      <w:r w:rsidR="00B11BC3">
        <w:rPr>
          <w:rFonts w:eastAsia="Calibri"/>
          <w:bCs/>
          <w:color w:val="000000"/>
          <w:sz w:val="28"/>
          <w:szCs w:val="22"/>
          <w:lang w:val="nl-NL"/>
        </w:rPr>
        <w:t>19</w:t>
      </w:r>
      <w:r w:rsidRPr="003037EA">
        <w:rPr>
          <w:rFonts w:eastAsia="Calibri"/>
          <w:bCs/>
          <w:color w:val="000000"/>
          <w:sz w:val="28"/>
          <w:szCs w:val="22"/>
          <w:lang w:val="nl-NL"/>
        </w:rPr>
        <w:t xml:space="preserve"> tháng </w:t>
      </w:r>
      <w:r w:rsidR="00C55ED4">
        <w:rPr>
          <w:rFonts w:eastAsia="Calibri"/>
          <w:bCs/>
          <w:color w:val="000000"/>
          <w:sz w:val="28"/>
          <w:szCs w:val="22"/>
          <w:lang w:val="nl-NL"/>
        </w:rPr>
        <w:t>7</w:t>
      </w:r>
      <w:r w:rsidRPr="003037EA">
        <w:rPr>
          <w:rFonts w:eastAsia="Calibri"/>
          <w:bCs/>
          <w:color w:val="000000"/>
          <w:sz w:val="28"/>
          <w:szCs w:val="22"/>
          <w:lang w:val="nl-NL"/>
        </w:rPr>
        <w:t xml:space="preserve"> năm 202</w:t>
      </w:r>
      <w:r w:rsidR="00C55ED4">
        <w:rPr>
          <w:rFonts w:eastAsia="Calibri"/>
          <w:bCs/>
          <w:color w:val="000000"/>
          <w:sz w:val="28"/>
          <w:szCs w:val="22"/>
          <w:lang w:val="nl-NL"/>
        </w:rPr>
        <w:t>4</w:t>
      </w:r>
      <w:r w:rsidRPr="003037EA">
        <w:rPr>
          <w:rFonts w:eastAsia="Calibri"/>
          <w:bCs/>
          <w:color w:val="000000"/>
          <w:sz w:val="28"/>
          <w:szCs w:val="22"/>
          <w:lang w:val="nl-NL"/>
        </w:rPr>
        <w:t>./.</w:t>
      </w:r>
      <w:bookmarkStart w:id="0" w:name="_GoBack"/>
      <w:bookmarkEnd w:id="0"/>
    </w:p>
    <w:tbl>
      <w:tblPr>
        <w:tblW w:w="9072" w:type="dxa"/>
        <w:tblLook w:val="01E0" w:firstRow="1" w:lastRow="1" w:firstColumn="1" w:lastColumn="1" w:noHBand="0" w:noVBand="0"/>
      </w:tblPr>
      <w:tblGrid>
        <w:gridCol w:w="4678"/>
        <w:gridCol w:w="4394"/>
      </w:tblGrid>
      <w:tr w:rsidR="003037EA" w:rsidRPr="003037EA" w:rsidTr="000D1F8C">
        <w:tc>
          <w:tcPr>
            <w:tcW w:w="4678" w:type="dxa"/>
          </w:tcPr>
          <w:p w:rsidR="003037EA" w:rsidRPr="003037EA" w:rsidRDefault="003037EA" w:rsidP="003037EA">
            <w:pPr>
              <w:rPr>
                <w:rFonts w:eastAsia="Calibri"/>
                <w:b/>
                <w:i/>
                <w:color w:val="000000"/>
              </w:rPr>
            </w:pPr>
            <w:r w:rsidRPr="003037EA">
              <w:rPr>
                <w:rFonts w:eastAsia="Calibri"/>
                <w:b/>
                <w:i/>
                <w:color w:val="000000"/>
              </w:rPr>
              <w:t>Nơi nhận:</w:t>
            </w:r>
          </w:p>
          <w:p w:rsidR="003037EA" w:rsidRPr="003037EA" w:rsidRDefault="003037EA" w:rsidP="003037EA">
            <w:pPr>
              <w:rPr>
                <w:rFonts w:eastAsia="Calibri"/>
                <w:color w:val="000000"/>
              </w:rPr>
            </w:pPr>
            <w:r w:rsidRPr="003037EA">
              <w:rPr>
                <w:rFonts w:eastAsia="Calibri"/>
                <w:color w:val="000000"/>
              </w:rPr>
              <w:t>- Thường trực HĐND tỉnh;</w:t>
            </w:r>
          </w:p>
          <w:p w:rsidR="003037EA" w:rsidRPr="003037EA" w:rsidRDefault="003037EA" w:rsidP="003037EA">
            <w:pPr>
              <w:rPr>
                <w:rFonts w:eastAsia="Calibri"/>
                <w:color w:val="000000"/>
              </w:rPr>
            </w:pPr>
            <w:r w:rsidRPr="003037EA">
              <w:rPr>
                <w:rFonts w:eastAsia="Calibri"/>
                <w:color w:val="000000"/>
              </w:rPr>
              <w:t>- Ủy ban nhân dân tỉnh;</w:t>
            </w:r>
          </w:p>
          <w:p w:rsidR="003037EA" w:rsidRPr="003037EA" w:rsidRDefault="003037EA" w:rsidP="003037EA">
            <w:pPr>
              <w:rPr>
                <w:rFonts w:eastAsia="Calibri"/>
                <w:color w:val="000000"/>
              </w:rPr>
            </w:pPr>
            <w:r w:rsidRPr="003037EA">
              <w:rPr>
                <w:rFonts w:eastAsia="Calibri"/>
                <w:color w:val="000000"/>
              </w:rPr>
              <w:t>- Thường trực Huyện ủy;</w:t>
            </w:r>
          </w:p>
          <w:p w:rsidR="003037EA" w:rsidRPr="003037EA" w:rsidRDefault="003037EA" w:rsidP="003037EA">
            <w:pPr>
              <w:rPr>
                <w:rFonts w:eastAsia="Calibri"/>
                <w:color w:val="000000"/>
              </w:rPr>
            </w:pPr>
            <w:r w:rsidRPr="003037EA">
              <w:rPr>
                <w:rFonts w:eastAsia="Calibri"/>
                <w:color w:val="000000"/>
              </w:rPr>
              <w:t>- Thường trực HĐND huyện;</w:t>
            </w:r>
          </w:p>
          <w:p w:rsidR="003037EA" w:rsidRPr="003037EA" w:rsidRDefault="003037EA" w:rsidP="003037EA">
            <w:pPr>
              <w:rPr>
                <w:rFonts w:eastAsia="Calibri"/>
                <w:color w:val="000000"/>
              </w:rPr>
            </w:pPr>
            <w:r w:rsidRPr="003037EA">
              <w:rPr>
                <w:rFonts w:eastAsia="Calibri"/>
                <w:color w:val="000000"/>
              </w:rPr>
              <w:t>- Ủy ban nhân dân huyện;</w:t>
            </w:r>
          </w:p>
          <w:p w:rsidR="003037EA" w:rsidRPr="003037EA" w:rsidRDefault="003037EA" w:rsidP="003037EA">
            <w:pPr>
              <w:rPr>
                <w:rFonts w:eastAsia="Calibri"/>
                <w:color w:val="000000"/>
              </w:rPr>
            </w:pPr>
            <w:r w:rsidRPr="003037EA">
              <w:rPr>
                <w:rFonts w:eastAsia="Calibri"/>
                <w:color w:val="000000"/>
              </w:rPr>
              <w:t>- UBMTTQVN huyện;</w:t>
            </w:r>
          </w:p>
          <w:p w:rsidR="003037EA" w:rsidRPr="003037EA" w:rsidRDefault="003037EA" w:rsidP="003037EA">
            <w:pPr>
              <w:rPr>
                <w:rFonts w:eastAsia="Calibri"/>
                <w:color w:val="000000"/>
              </w:rPr>
            </w:pPr>
            <w:r w:rsidRPr="003037EA">
              <w:rPr>
                <w:rFonts w:eastAsia="Calibri"/>
                <w:color w:val="000000"/>
              </w:rPr>
              <w:t>- Các Ban của HĐND huyện;</w:t>
            </w:r>
          </w:p>
          <w:p w:rsidR="003037EA" w:rsidRPr="003037EA" w:rsidRDefault="003037EA" w:rsidP="003037EA">
            <w:pPr>
              <w:rPr>
                <w:rFonts w:eastAsia="Calibri"/>
                <w:color w:val="000000"/>
              </w:rPr>
            </w:pPr>
            <w:r w:rsidRPr="003037EA">
              <w:rPr>
                <w:rFonts w:eastAsia="Calibri"/>
                <w:color w:val="000000"/>
              </w:rPr>
              <w:t>- Các Tổ đại biểu HĐND huyện;</w:t>
            </w:r>
          </w:p>
          <w:p w:rsidR="003037EA" w:rsidRPr="003037EA" w:rsidRDefault="003037EA" w:rsidP="003037EA">
            <w:pPr>
              <w:rPr>
                <w:rFonts w:eastAsia="Calibri"/>
                <w:color w:val="000000"/>
              </w:rPr>
            </w:pPr>
            <w:r w:rsidRPr="003037EA">
              <w:rPr>
                <w:rFonts w:eastAsia="Calibri"/>
                <w:color w:val="000000"/>
              </w:rPr>
              <w:t>- Đại biểu HĐND huyện;</w:t>
            </w:r>
          </w:p>
          <w:p w:rsidR="003037EA" w:rsidRPr="003037EA" w:rsidRDefault="003037EA" w:rsidP="003037EA">
            <w:pPr>
              <w:rPr>
                <w:rFonts w:eastAsia="Calibri"/>
                <w:color w:val="000000"/>
              </w:rPr>
            </w:pPr>
            <w:r w:rsidRPr="003037EA">
              <w:rPr>
                <w:rFonts w:eastAsia="Calibri"/>
                <w:color w:val="000000"/>
              </w:rPr>
              <w:t>- Các phòng ban, ngành và đoàn thể huyện;</w:t>
            </w:r>
          </w:p>
          <w:p w:rsidR="003037EA" w:rsidRPr="003037EA" w:rsidRDefault="003037EA" w:rsidP="003037EA">
            <w:pPr>
              <w:rPr>
                <w:rFonts w:eastAsia="Calibri"/>
                <w:color w:val="000000"/>
              </w:rPr>
            </w:pPr>
            <w:r w:rsidRPr="003037EA">
              <w:rPr>
                <w:rFonts w:eastAsia="Calibri"/>
                <w:color w:val="000000"/>
              </w:rPr>
              <w:t>- Thường trực HĐND; UBND các xã, thị trấn;</w:t>
            </w:r>
          </w:p>
          <w:p w:rsidR="003037EA" w:rsidRPr="003037EA" w:rsidRDefault="003037EA" w:rsidP="003037EA">
            <w:pPr>
              <w:rPr>
                <w:rFonts w:eastAsia="Calibri"/>
                <w:color w:val="000000"/>
                <w:sz w:val="28"/>
                <w:szCs w:val="22"/>
              </w:rPr>
            </w:pPr>
            <w:r w:rsidRPr="003037EA">
              <w:rPr>
                <w:rFonts w:eastAsia="Calibri"/>
                <w:color w:val="000000"/>
              </w:rPr>
              <w:t>- Lưu: VT-LT.</w:t>
            </w:r>
          </w:p>
        </w:tc>
        <w:tc>
          <w:tcPr>
            <w:tcW w:w="4394" w:type="dxa"/>
          </w:tcPr>
          <w:p w:rsidR="003037EA" w:rsidRPr="003037EA" w:rsidRDefault="003037EA" w:rsidP="003037EA">
            <w:pPr>
              <w:ind w:firstLine="720"/>
              <w:jc w:val="center"/>
              <w:rPr>
                <w:rFonts w:eastAsia="Calibri"/>
                <w:b/>
                <w:color w:val="000000"/>
                <w:sz w:val="28"/>
                <w:szCs w:val="22"/>
              </w:rPr>
            </w:pPr>
            <w:r w:rsidRPr="003037EA">
              <w:rPr>
                <w:rFonts w:eastAsia="Calibri"/>
                <w:b/>
                <w:color w:val="000000"/>
                <w:sz w:val="28"/>
                <w:szCs w:val="22"/>
              </w:rPr>
              <w:t>CHỦ TỊCH</w:t>
            </w:r>
          </w:p>
          <w:p w:rsidR="003037EA" w:rsidRPr="003037EA" w:rsidRDefault="003037EA" w:rsidP="003037EA">
            <w:pPr>
              <w:tabs>
                <w:tab w:val="left" w:pos="1561"/>
              </w:tabs>
              <w:ind w:firstLine="720"/>
              <w:jc w:val="center"/>
              <w:rPr>
                <w:rFonts w:eastAsia="Calibri"/>
                <w:color w:val="000000"/>
                <w:sz w:val="28"/>
                <w:szCs w:val="22"/>
              </w:rPr>
            </w:pPr>
          </w:p>
          <w:p w:rsidR="003037EA" w:rsidRPr="003037EA" w:rsidRDefault="003037EA" w:rsidP="003037EA">
            <w:pPr>
              <w:tabs>
                <w:tab w:val="left" w:pos="1561"/>
              </w:tabs>
              <w:ind w:firstLine="720"/>
              <w:jc w:val="center"/>
              <w:rPr>
                <w:rFonts w:eastAsia="Calibri"/>
                <w:color w:val="000000"/>
                <w:sz w:val="28"/>
                <w:szCs w:val="22"/>
              </w:rPr>
            </w:pPr>
          </w:p>
          <w:p w:rsidR="003037EA" w:rsidRPr="003037EA" w:rsidRDefault="003037EA" w:rsidP="003037EA">
            <w:pPr>
              <w:tabs>
                <w:tab w:val="left" w:pos="1561"/>
              </w:tabs>
              <w:ind w:firstLine="720"/>
              <w:jc w:val="center"/>
              <w:rPr>
                <w:rFonts w:eastAsia="Calibri"/>
                <w:color w:val="000000"/>
                <w:sz w:val="28"/>
                <w:szCs w:val="22"/>
              </w:rPr>
            </w:pPr>
          </w:p>
          <w:p w:rsidR="003037EA" w:rsidRPr="003037EA" w:rsidRDefault="003037EA" w:rsidP="003037EA">
            <w:pPr>
              <w:tabs>
                <w:tab w:val="left" w:pos="1561"/>
              </w:tabs>
              <w:ind w:firstLine="720"/>
              <w:jc w:val="center"/>
              <w:rPr>
                <w:rFonts w:eastAsia="Calibri"/>
                <w:color w:val="000000"/>
                <w:sz w:val="28"/>
                <w:szCs w:val="22"/>
              </w:rPr>
            </w:pPr>
          </w:p>
          <w:p w:rsidR="003037EA" w:rsidRPr="003037EA" w:rsidRDefault="003037EA" w:rsidP="003037EA">
            <w:pPr>
              <w:tabs>
                <w:tab w:val="left" w:pos="1561"/>
              </w:tabs>
              <w:ind w:firstLine="720"/>
              <w:jc w:val="center"/>
              <w:rPr>
                <w:rFonts w:eastAsia="Calibri"/>
                <w:color w:val="000000"/>
                <w:sz w:val="28"/>
                <w:szCs w:val="22"/>
              </w:rPr>
            </w:pPr>
          </w:p>
          <w:p w:rsidR="003037EA" w:rsidRPr="003037EA" w:rsidRDefault="003037EA" w:rsidP="003037EA">
            <w:pPr>
              <w:tabs>
                <w:tab w:val="left" w:pos="1561"/>
              </w:tabs>
              <w:ind w:firstLine="720"/>
              <w:jc w:val="center"/>
              <w:rPr>
                <w:rFonts w:eastAsia="Calibri"/>
                <w:b/>
                <w:color w:val="000000"/>
                <w:sz w:val="28"/>
                <w:szCs w:val="22"/>
              </w:rPr>
            </w:pPr>
            <w:r w:rsidRPr="003037EA">
              <w:rPr>
                <w:rFonts w:eastAsia="Calibri"/>
                <w:b/>
                <w:color w:val="000000"/>
                <w:sz w:val="28"/>
                <w:szCs w:val="22"/>
              </w:rPr>
              <w:t>Đào Duy Khánh</w:t>
            </w:r>
          </w:p>
          <w:p w:rsidR="003037EA" w:rsidRPr="003037EA" w:rsidRDefault="003037EA" w:rsidP="003037EA">
            <w:pPr>
              <w:tabs>
                <w:tab w:val="left" w:pos="1561"/>
              </w:tabs>
              <w:ind w:firstLine="720"/>
              <w:rPr>
                <w:rFonts w:eastAsia="Calibri"/>
                <w:b/>
                <w:color w:val="000000"/>
                <w:sz w:val="28"/>
                <w:szCs w:val="22"/>
              </w:rPr>
            </w:pPr>
          </w:p>
        </w:tc>
      </w:tr>
    </w:tbl>
    <w:p w:rsidR="00075546" w:rsidRDefault="00075546"/>
    <w:p w:rsidR="00C01B80" w:rsidRDefault="00C01B80"/>
    <w:sectPr w:rsidR="00C01B80" w:rsidSect="000D1F8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CC6"/>
    <w:multiLevelType w:val="hybridMultilevel"/>
    <w:tmpl w:val="509A8044"/>
    <w:lvl w:ilvl="0" w:tplc="375E5C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B542056"/>
    <w:multiLevelType w:val="hybridMultilevel"/>
    <w:tmpl w:val="3A7AB93E"/>
    <w:lvl w:ilvl="0" w:tplc="FB64D5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9C"/>
    <w:rsid w:val="00075546"/>
    <w:rsid w:val="000A600B"/>
    <w:rsid w:val="000D1F8C"/>
    <w:rsid w:val="001157FA"/>
    <w:rsid w:val="00264A58"/>
    <w:rsid w:val="003037EA"/>
    <w:rsid w:val="00304CF2"/>
    <w:rsid w:val="003E335A"/>
    <w:rsid w:val="00402F75"/>
    <w:rsid w:val="004E6B1F"/>
    <w:rsid w:val="00684549"/>
    <w:rsid w:val="006D029C"/>
    <w:rsid w:val="007F2CC7"/>
    <w:rsid w:val="0086683B"/>
    <w:rsid w:val="009006CF"/>
    <w:rsid w:val="009B70A9"/>
    <w:rsid w:val="00A8772A"/>
    <w:rsid w:val="00B11BC3"/>
    <w:rsid w:val="00B959A9"/>
    <w:rsid w:val="00BF38A8"/>
    <w:rsid w:val="00C01B80"/>
    <w:rsid w:val="00C55ED4"/>
    <w:rsid w:val="00CE5CFA"/>
    <w:rsid w:val="00D22B91"/>
    <w:rsid w:val="00D66A04"/>
    <w:rsid w:val="00D7238D"/>
    <w:rsid w:val="00EE4EA9"/>
    <w:rsid w:val="00F5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6A3A"/>
  <w15:docId w15:val="{8675043B-9ABE-44E4-B64F-9984A055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2024-06-10T09:46:00Z</dcterms:created>
  <dcterms:modified xsi:type="dcterms:W3CDTF">2024-07-22T01:14:00Z</dcterms:modified>
</cp:coreProperties>
</file>